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547" w:rsidRPr="00580CCE" w:rsidRDefault="00E65C1E" w:rsidP="00E77786">
      <w:pPr>
        <w:spacing w:after="0" w:line="240" w:lineRule="auto"/>
        <w:ind w:firstLine="5954"/>
        <w:jc w:val="center"/>
        <w:rPr>
          <w:rFonts w:ascii="Times New Roman" w:hAnsi="Times New Roman" w:cs="Times New Roman"/>
          <w:sz w:val="28"/>
          <w:szCs w:val="28"/>
        </w:rPr>
      </w:pPr>
      <w:r w:rsidRPr="00580CC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922048">
        <w:rPr>
          <w:rFonts w:ascii="Times New Roman" w:hAnsi="Times New Roman" w:cs="Times New Roman"/>
          <w:sz w:val="28"/>
          <w:szCs w:val="28"/>
        </w:rPr>
        <w:t>№</w:t>
      </w:r>
      <w:r w:rsidR="00CC4E40" w:rsidRPr="00922048">
        <w:rPr>
          <w:rFonts w:ascii="Times New Roman" w:hAnsi="Times New Roman" w:cs="Times New Roman"/>
          <w:sz w:val="28"/>
          <w:szCs w:val="28"/>
        </w:rPr>
        <w:t xml:space="preserve"> </w:t>
      </w:r>
      <w:r w:rsidR="00C21893">
        <w:rPr>
          <w:rFonts w:ascii="Times New Roman" w:hAnsi="Times New Roman" w:cs="Times New Roman"/>
          <w:sz w:val="28"/>
          <w:szCs w:val="28"/>
        </w:rPr>
        <w:t>3</w:t>
      </w:r>
      <w:r w:rsidR="00C04E66">
        <w:rPr>
          <w:rFonts w:ascii="Times New Roman" w:hAnsi="Times New Roman" w:cs="Times New Roman"/>
          <w:sz w:val="28"/>
          <w:szCs w:val="28"/>
        </w:rPr>
        <w:t>1</w:t>
      </w:r>
    </w:p>
    <w:p w:rsidR="00E65C1E" w:rsidRPr="00580CCE" w:rsidRDefault="00580CCE" w:rsidP="00E77786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65C1E" w:rsidRPr="00580CCE">
        <w:rPr>
          <w:rFonts w:ascii="Times New Roman" w:hAnsi="Times New Roman" w:cs="Times New Roman"/>
          <w:sz w:val="28"/>
          <w:szCs w:val="28"/>
        </w:rPr>
        <w:t xml:space="preserve"> </w:t>
      </w:r>
      <w:r w:rsidR="00842254">
        <w:rPr>
          <w:rFonts w:ascii="Times New Roman" w:hAnsi="Times New Roman" w:cs="Times New Roman"/>
          <w:sz w:val="28"/>
          <w:szCs w:val="28"/>
        </w:rPr>
        <w:t>Т</w:t>
      </w:r>
      <w:r w:rsidR="00E65C1E" w:rsidRPr="00580CCE">
        <w:rPr>
          <w:rFonts w:ascii="Times New Roman" w:hAnsi="Times New Roman" w:cs="Times New Roman"/>
          <w:sz w:val="28"/>
          <w:szCs w:val="28"/>
        </w:rPr>
        <w:t>арифному соглашению</w:t>
      </w:r>
    </w:p>
    <w:p w:rsidR="00580CCE" w:rsidRPr="00580CCE" w:rsidRDefault="00580CCE" w:rsidP="00E77786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  <w:r w:rsidRPr="00580CCE">
        <w:rPr>
          <w:rFonts w:ascii="Times New Roman" w:hAnsi="Times New Roman" w:cs="Times New Roman"/>
          <w:sz w:val="28"/>
          <w:szCs w:val="28"/>
        </w:rPr>
        <w:t>от</w:t>
      </w:r>
      <w:r w:rsidR="005364B2">
        <w:rPr>
          <w:rFonts w:ascii="Times New Roman" w:hAnsi="Times New Roman" w:cs="Times New Roman"/>
          <w:sz w:val="28"/>
          <w:szCs w:val="28"/>
        </w:rPr>
        <w:t xml:space="preserve"> </w:t>
      </w:r>
      <w:r w:rsidR="00B53DCB">
        <w:rPr>
          <w:rFonts w:ascii="Times New Roman" w:hAnsi="Times New Roman" w:cs="Times New Roman"/>
          <w:sz w:val="28"/>
          <w:szCs w:val="28"/>
        </w:rPr>
        <w:t>20</w:t>
      </w:r>
      <w:r w:rsidR="00CC4E40">
        <w:rPr>
          <w:rFonts w:ascii="Times New Roman" w:hAnsi="Times New Roman" w:cs="Times New Roman"/>
          <w:sz w:val="28"/>
          <w:szCs w:val="28"/>
        </w:rPr>
        <w:t>.01.202</w:t>
      </w:r>
      <w:r w:rsidR="00B53DCB">
        <w:rPr>
          <w:rFonts w:ascii="Times New Roman" w:hAnsi="Times New Roman" w:cs="Times New Roman"/>
          <w:sz w:val="28"/>
          <w:szCs w:val="28"/>
        </w:rPr>
        <w:t>2</w:t>
      </w:r>
      <w:r w:rsidR="00CC4E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7786" w:rsidRDefault="00E77786" w:rsidP="006B6C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B6C45" w:rsidRPr="006B6C45" w:rsidRDefault="006B6C45" w:rsidP="006B6C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6B6C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Перечень КСГ, </w:t>
      </w:r>
      <w:r w:rsidR="008422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</w:t>
      </w:r>
      <w:r w:rsidRPr="006B6C4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которым не применяется коэффициент уровня (подуровня) медицинской организации</w:t>
      </w:r>
      <w:r w:rsidR="00654E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="0084225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2022 год</w:t>
      </w:r>
    </w:p>
    <w:p w:rsidR="00580CCE" w:rsidRDefault="00580CCE" w:rsidP="000B7E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211"/>
        <w:tblW w:w="0" w:type="auto"/>
        <w:tblInd w:w="108" w:type="dxa"/>
        <w:tblLook w:val="04A0" w:firstRow="1" w:lastRow="0" w:firstColumn="1" w:lastColumn="0" w:noHBand="0" w:noVBand="1"/>
      </w:tblPr>
      <w:tblGrid>
        <w:gridCol w:w="1095"/>
        <w:gridCol w:w="8143"/>
      </w:tblGrid>
      <w:tr w:rsidR="006B6C45" w:rsidRPr="00CF47D4" w:rsidTr="006B6C45">
        <w:trPr>
          <w:cantSplit/>
          <w:trHeight w:val="284"/>
          <w:tblHeader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B6C4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КСГ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6B6C45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Наименование КСГ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st01.001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st02.002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Беременность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закончившаяся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абортивным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исходом</w:t>
            </w:r>
            <w:proofErr w:type="spellEnd"/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st02.006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Послеродовой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сепсис</w:t>
            </w:r>
            <w:bookmarkStart w:id="0" w:name="_GoBack"/>
            <w:bookmarkEnd w:id="0"/>
            <w:proofErr w:type="spellEnd"/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st02.012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женских половых органах (уровень 3)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st03.002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Ангионевротический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отек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анафилактический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шок</w:t>
            </w:r>
            <w:proofErr w:type="spellEnd"/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st04.001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Язва желудка и двенадцатиперстной кишки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st09.003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мужских половых органах, дети (уровень 3)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st09.004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мужских половых органах, дети (уровень 4)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st09.008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почке и мочевыделительной системе, дети (уровень 4)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st09.009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почке и мочевыделительной системе, дети (уровень 5)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st09.010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почке и мочевыделительной системе, дети (уровень 6)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st10.003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Аппендэктомия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дети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уровень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1)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st10.005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по поводу грыж, дети (уровень 1)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st14.001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кишечнике и анальной области (уровень 1)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st15.005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Эпилепсия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судороги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уровень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1)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st15.008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ботулотоксина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 xml:space="preserve"> (уровень 1)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st15.009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ботулотоксина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 xml:space="preserve"> (уровень 2)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st16.003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Дорсопатии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спондилопатии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остеопатии</w:t>
            </w:r>
            <w:proofErr w:type="spellEnd"/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st16.005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Сотрясение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головного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мозга</w:t>
            </w:r>
            <w:proofErr w:type="spellEnd"/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st16.010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периферической нервной системе (уровень 2)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st16.011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периферической нервной системе (уровень 3)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st20.008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st20.009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st20.010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Замена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речевого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процессора</w:t>
            </w:r>
            <w:proofErr w:type="spellEnd"/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st21.004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органе зрения (уровень 4)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st21.005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органе зрения (уровень 5)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st21.006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органе зрения (уровень 6)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st27.001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st27.003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желчного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пузыря</w:t>
            </w:r>
            <w:proofErr w:type="spellEnd"/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st27.005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Гипертоническая болезнь в стадии обострения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st27.006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 xml:space="preserve">Стенокардия (кроме </w:t>
            </w:r>
            <w:proofErr w:type="gramStart"/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нестабильной</w:t>
            </w:r>
            <w:proofErr w:type="gramEnd"/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), хроническая ишемическая болезнь сердца (уровень 1)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st27.010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 xml:space="preserve">Бронхит 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необструктивный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, симптомы и признаки, относящиеся к органам дыхания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st28.004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st28.005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st29.002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Переломы шейки бедра и костей таза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st29.003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Переломы бедренной кости, другие травмы области бедра и тазобедренного сустава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st29.004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Переломы, вывихи, растяжения области грудной клетки, верхней конечности и стопы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st29.005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Переломы, вывихи, растяжения области колена и голени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st29.012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костно-мышечной системе и суставах (уровень 4)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st29.013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костно-мышечной системе и суставах (уровень 5)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st30.004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предстательной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железы</w:t>
            </w:r>
            <w:proofErr w:type="spellEnd"/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st30.008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мужских половых органах, взрослые (уровень 3)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st30.009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мужских половых органах, взрослые (уровень 4)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st30.015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почке и мочевыделительной системе, взрослые (уровень 6)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st31.002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коже, подкожной клетчатке, придатках кожи (уровень 1)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st31.009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эндокринных железах кроме гипофиза (уровень 1)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st31.010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эндокринных железах кроме гипофиза (уровень 2)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st31.012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Артрозы, другие поражения суставов, болезни мягких тканей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st31.018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Открытые раны, поверхностные, другие и неуточненные травмы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st32.004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желчном пузыре и желчевыводящих путях (уровень 4)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st32.010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на пищеводе, желудке, двенадцатиперстной кишке (уровень 3)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st32.011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Аппендэктомия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взрослые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уровень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1)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st32.012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Аппендэктомия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взрослые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уровень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2)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st32.013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по поводу грыж, взрослые (уровень 1)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st32.014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по поводу грыж, взрослые (уровень 2)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st32.015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Операции по поводу грыж, взрослые (уровень 3)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st36.001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Комплексное лечение с применением препаратов иммуноглобулина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st36.007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Установка, замена, заправка помп для лекарственных препаратов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st36.009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Реинфузия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аутокрови</w:t>
            </w:r>
            <w:proofErr w:type="spellEnd"/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st36.010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Баллонная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внутриаортальная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контрпульсация</w:t>
            </w:r>
            <w:proofErr w:type="spellEnd"/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st36.011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Экстракорпоральная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мембранная</w:t>
            </w:r>
            <w:proofErr w:type="spellEnd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оксигенация</w:t>
            </w:r>
            <w:proofErr w:type="spellEnd"/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st36.017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st36.018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st36.019</w:t>
            </w:r>
          </w:p>
        </w:tc>
        <w:tc>
          <w:tcPr>
            <w:tcW w:w="8143" w:type="dxa"/>
            <w:shd w:val="clear" w:color="auto" w:fill="auto"/>
            <w:vAlign w:val="center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</w:tr>
      <w:tr w:rsidR="006B6C45" w:rsidRPr="00CF47D4" w:rsidTr="006B6C45">
        <w:trPr>
          <w:cantSplit/>
          <w:trHeight w:val="284"/>
        </w:trPr>
        <w:tc>
          <w:tcPr>
            <w:tcW w:w="1095" w:type="dxa"/>
            <w:shd w:val="clear" w:color="auto" w:fill="auto"/>
            <w:vAlign w:val="center"/>
          </w:tcPr>
          <w:p w:rsidR="006B6C45" w:rsidRPr="006B6C45" w:rsidRDefault="006B6C45" w:rsidP="00063566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eastAsia="ru-RU"/>
              </w:rPr>
              <w:t>st37.004</w:t>
            </w:r>
          </w:p>
        </w:tc>
        <w:tc>
          <w:tcPr>
            <w:tcW w:w="8143" w:type="dxa"/>
            <w:shd w:val="clear" w:color="auto" w:fill="auto"/>
          </w:tcPr>
          <w:p w:rsidR="006B6C45" w:rsidRPr="006B6C45" w:rsidRDefault="006B6C45" w:rsidP="00063566">
            <w:pPr>
              <w:rPr>
                <w:rFonts w:ascii="Times New Roman" w:eastAsia="Times New Roman" w:hAnsi="Times New Roman" w:cs="Times New Roman"/>
                <w:bCs/>
                <w:lang w:val="ru-RU" w:eastAsia="ru-RU"/>
              </w:rPr>
            </w:pPr>
            <w:r w:rsidRPr="006B6C45">
              <w:rPr>
                <w:rFonts w:ascii="Times New Roman" w:eastAsia="Times New Roman" w:hAnsi="Times New Roman" w:cs="Times New Roman"/>
                <w:bCs/>
                <w:lang w:val="ru-RU" w:eastAsia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</w:tr>
    </w:tbl>
    <w:p w:rsidR="006B6C45" w:rsidRPr="00187280" w:rsidRDefault="006B6C45" w:rsidP="000B7ECD"/>
    <w:sectPr w:rsidR="006B6C45" w:rsidRPr="00187280" w:rsidSect="00D148E9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2A3"/>
    <w:rsid w:val="00047547"/>
    <w:rsid w:val="00064EC5"/>
    <w:rsid w:val="00097F6C"/>
    <w:rsid w:val="000B7ECD"/>
    <w:rsid w:val="000E7CD8"/>
    <w:rsid w:val="00187280"/>
    <w:rsid w:val="001E1F8B"/>
    <w:rsid w:val="0026108D"/>
    <w:rsid w:val="00303F0A"/>
    <w:rsid w:val="003A4939"/>
    <w:rsid w:val="003E5B38"/>
    <w:rsid w:val="0043248C"/>
    <w:rsid w:val="004D5D08"/>
    <w:rsid w:val="00507ED1"/>
    <w:rsid w:val="00522788"/>
    <w:rsid w:val="005364B2"/>
    <w:rsid w:val="00580CCE"/>
    <w:rsid w:val="005A02B3"/>
    <w:rsid w:val="005F6644"/>
    <w:rsid w:val="00604040"/>
    <w:rsid w:val="00654E06"/>
    <w:rsid w:val="006B6C45"/>
    <w:rsid w:val="00797FC6"/>
    <w:rsid w:val="007C42A3"/>
    <w:rsid w:val="00842254"/>
    <w:rsid w:val="00877C6D"/>
    <w:rsid w:val="008A4773"/>
    <w:rsid w:val="00922048"/>
    <w:rsid w:val="00926D8E"/>
    <w:rsid w:val="00A266EA"/>
    <w:rsid w:val="00B53DCB"/>
    <w:rsid w:val="00B55076"/>
    <w:rsid w:val="00C04E66"/>
    <w:rsid w:val="00C21893"/>
    <w:rsid w:val="00CC4E40"/>
    <w:rsid w:val="00D148E9"/>
    <w:rsid w:val="00DD76DC"/>
    <w:rsid w:val="00E04162"/>
    <w:rsid w:val="00E65C1E"/>
    <w:rsid w:val="00E77786"/>
    <w:rsid w:val="00EF5943"/>
    <w:rsid w:val="00F9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97FC6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97FC6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97FC6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8E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97F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97F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97FC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797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97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97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97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97F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9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7FC6"/>
  </w:style>
  <w:style w:type="paragraph" w:styleId="a7">
    <w:name w:val="footer"/>
    <w:basedOn w:val="a"/>
    <w:link w:val="a8"/>
    <w:uiPriority w:val="99"/>
    <w:unhideWhenUsed/>
    <w:rsid w:val="0079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7FC6"/>
  </w:style>
  <w:style w:type="table" w:styleId="a9">
    <w:name w:val="Table Grid"/>
    <w:basedOn w:val="a1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97FC6"/>
    <w:pPr>
      <w:spacing w:after="160" w:line="259" w:lineRule="auto"/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97FC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97FC6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97FC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97FC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97FC6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797F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797FC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797F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797FC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797FC6"/>
    <w:rPr>
      <w:color w:val="808080"/>
    </w:rPr>
  </w:style>
  <w:style w:type="character" w:styleId="af4">
    <w:name w:val="Hyperlink"/>
    <w:basedOn w:val="a0"/>
    <w:uiPriority w:val="99"/>
    <w:unhideWhenUsed/>
    <w:rsid w:val="00797FC6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797FC6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797FC6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797FC6"/>
    <w:rPr>
      <w:vertAlign w:val="superscript"/>
    </w:rPr>
  </w:style>
  <w:style w:type="numbering" w:customStyle="1" w:styleId="10">
    <w:name w:val="Нет списка1"/>
    <w:next w:val="a2"/>
    <w:uiPriority w:val="99"/>
    <w:semiHidden/>
    <w:unhideWhenUsed/>
    <w:rsid w:val="00797FC6"/>
  </w:style>
  <w:style w:type="table" w:customStyle="1" w:styleId="11">
    <w:name w:val="Сетка таблицы1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797FC6"/>
  </w:style>
  <w:style w:type="table" w:customStyle="1" w:styleId="22">
    <w:name w:val="Сетка таблицы2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97FC6"/>
    <w:pPr>
      <w:spacing w:after="0" w:line="240" w:lineRule="auto"/>
    </w:pPr>
  </w:style>
  <w:style w:type="table" w:customStyle="1" w:styleId="31">
    <w:name w:val="Сетка таблицы3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unhideWhenUsed/>
    <w:rsid w:val="004D5D08"/>
    <w:rPr>
      <w:color w:val="954F72"/>
      <w:u w:val="single"/>
    </w:rPr>
  </w:style>
  <w:style w:type="table" w:customStyle="1" w:styleId="211">
    <w:name w:val="Сетка таблицы211"/>
    <w:basedOn w:val="a1"/>
    <w:next w:val="a9"/>
    <w:uiPriority w:val="59"/>
    <w:rsid w:val="006B6C4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97FC6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97FC6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97FC6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8E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97F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97F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97FC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797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97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97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97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97F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9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7FC6"/>
  </w:style>
  <w:style w:type="paragraph" w:styleId="a7">
    <w:name w:val="footer"/>
    <w:basedOn w:val="a"/>
    <w:link w:val="a8"/>
    <w:uiPriority w:val="99"/>
    <w:unhideWhenUsed/>
    <w:rsid w:val="0079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7FC6"/>
  </w:style>
  <w:style w:type="table" w:styleId="a9">
    <w:name w:val="Table Grid"/>
    <w:basedOn w:val="a1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97FC6"/>
    <w:pPr>
      <w:spacing w:after="160" w:line="259" w:lineRule="auto"/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97FC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97FC6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97FC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97FC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97FC6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797F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797FC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797F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797FC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797FC6"/>
    <w:rPr>
      <w:color w:val="808080"/>
    </w:rPr>
  </w:style>
  <w:style w:type="character" w:styleId="af4">
    <w:name w:val="Hyperlink"/>
    <w:basedOn w:val="a0"/>
    <w:uiPriority w:val="99"/>
    <w:unhideWhenUsed/>
    <w:rsid w:val="00797FC6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797FC6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797FC6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797FC6"/>
    <w:rPr>
      <w:vertAlign w:val="superscript"/>
    </w:rPr>
  </w:style>
  <w:style w:type="numbering" w:customStyle="1" w:styleId="10">
    <w:name w:val="Нет списка1"/>
    <w:next w:val="a2"/>
    <w:uiPriority w:val="99"/>
    <w:semiHidden/>
    <w:unhideWhenUsed/>
    <w:rsid w:val="00797FC6"/>
  </w:style>
  <w:style w:type="table" w:customStyle="1" w:styleId="11">
    <w:name w:val="Сетка таблицы1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797FC6"/>
  </w:style>
  <w:style w:type="table" w:customStyle="1" w:styleId="22">
    <w:name w:val="Сетка таблицы2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97FC6"/>
    <w:pPr>
      <w:spacing w:after="0" w:line="240" w:lineRule="auto"/>
    </w:pPr>
  </w:style>
  <w:style w:type="table" w:customStyle="1" w:styleId="31">
    <w:name w:val="Сетка таблицы3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unhideWhenUsed/>
    <w:rsid w:val="004D5D08"/>
    <w:rPr>
      <w:color w:val="954F72"/>
      <w:u w:val="single"/>
    </w:rPr>
  </w:style>
  <w:style w:type="table" w:customStyle="1" w:styleId="211">
    <w:name w:val="Сетка таблицы211"/>
    <w:basedOn w:val="a1"/>
    <w:next w:val="a9"/>
    <w:uiPriority w:val="59"/>
    <w:rsid w:val="006B6C4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685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Любовь В. Данилова</cp:lastModifiedBy>
  <cp:revision>7</cp:revision>
  <cp:lastPrinted>2022-01-21T09:30:00Z</cp:lastPrinted>
  <dcterms:created xsi:type="dcterms:W3CDTF">2022-01-18T15:47:00Z</dcterms:created>
  <dcterms:modified xsi:type="dcterms:W3CDTF">2022-01-21T09:30:00Z</dcterms:modified>
</cp:coreProperties>
</file>